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9EA" w:rsidRPr="005A29EA" w:rsidRDefault="005A29EA" w:rsidP="005A29EA">
      <w:pPr>
        <w:jc w:val="both"/>
        <w:rPr>
          <w:rFonts w:ascii="Times New Roman" w:hAnsi="Times New Roman" w:cs="Times New Roman"/>
          <w:b/>
          <w:sz w:val="28"/>
        </w:rPr>
      </w:pPr>
      <w:r w:rsidRPr="005A29EA">
        <w:rPr>
          <w:rFonts w:ascii="Times New Roman" w:hAnsi="Times New Roman" w:cs="Times New Roman"/>
          <w:b/>
          <w:sz w:val="28"/>
        </w:rPr>
        <w:t>Jelang Pemilu,Wabup HM Hartopo hadiri Rakornas Penyelenggaraan Pemilu</w:t>
      </w:r>
    </w:p>
    <w:p w:rsidR="005A29EA" w:rsidRPr="005A29EA" w:rsidRDefault="005A29EA" w:rsidP="005A29EA">
      <w:pPr>
        <w:jc w:val="both"/>
        <w:rPr>
          <w:rFonts w:ascii="Times New Roman" w:hAnsi="Times New Roman" w:cs="Times New Roman"/>
          <w:sz w:val="24"/>
        </w:rPr>
      </w:pP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Jakarta-Pemilu semakin dekat.Oleh karenanya,Kementerian Dalam Negeri menyelenggarakan Rakornas Bidang Kewaapadaan Nasional dalam Rangka Pemantapan Penyelenggaraan Pemilu tahun 2019, bertempat di hotel Grand Paragon Jakarta. (27/3).Wakil Bupati Kudus HM Hartopo hadir pada acara tersebut,didampingi oleh Kepala Kantor Kesbangpol Kab.Kudus.Hadir pula,Kajari dan Ketua DPRD kab.Kudus.</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Rakornas digelar dengan maksud adanya sinergitas antara Pemerintah Pusat, Pemerintah Daerah, dan seluruh pemangku kepentingan dalam menjalankan tugasnya sehingga tercipta situasi kondusif dan kondisi damai menjelang Pemilu serentak 2019. Tujuannya, yaitu sebagai upaya untuk mengoptimalkan kewaspadaan, baik itu pemerintah pusat, pemerintah daerah, dan seluruh pemangku kepentingan Pemilu dalam menghadapi Pemilu serentak tahun 2019 (Pileg dan Pilpres). Rakornas tersebut diikuti oleh 2500 orang peserta Regional Tengah dari unsur Forkopimda Provinsi dan Kabupaten/Kota, Kaban/Kakan Kesbangpol Provinsi Kabupaten/Kota, serta unsur penyelenggara Pemilu.</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 xml:space="preserve">Pada kesempatan itu, Menteri Dalam Negeri Tjahjo Kumolo menyampaikan Sembilan catatan jelang pelaksanaan Pemilu Serentak 2019. </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“Ada beberapa catatan untuk memastikan kesuksesan  Pemilu Serentak 2019 ini, jangan sampai ada hal-hal yang mengganggu tahapan kesinambungan pembangunan bangsa kita ini,” kata Tjahjo.</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Sembilan catatan itu kesusksesan Pemilu Serentak 2019, menurut Tjahjo Kumolo.</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Pertama, Pemilu adalah agenda negara sesuai amanat konstitusi</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Kedua, memberikan dukungan, sosialisasi termasuk melalui media, guna meningkatkan partisipasi masyarakat.</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Ketiga, mewujudkan Pemilu yang langsung, umum, bebas, rahasia, jujur dan adil.</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Keempat, terciptanya sinergitas dan konsolidasi antara stakeholder (Pemangku Kepentingan).</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Kelima, netralitas dan sikap tegas tanpa diskriminasi.</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Keenam, deteksi dini kerawanan</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Ketujuh, responsif terhadap beberapa persoalan.</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Kedelapan, optimalkan peran serta tokoh masyarakat dan Organisasi Kemasyarakatan</w:t>
      </w:r>
    </w:p>
    <w:p w:rsidR="005A29EA" w:rsidRPr="005A29EA" w:rsidRDefault="005A29EA" w:rsidP="005A29EA">
      <w:pPr>
        <w:jc w:val="both"/>
        <w:rPr>
          <w:rFonts w:ascii="Times New Roman" w:hAnsi="Times New Roman" w:cs="Times New Roman"/>
          <w:sz w:val="24"/>
        </w:rPr>
      </w:pPr>
      <w:r w:rsidRPr="005A29EA">
        <w:rPr>
          <w:rFonts w:ascii="Times New Roman" w:hAnsi="Times New Roman" w:cs="Times New Roman"/>
          <w:sz w:val="24"/>
        </w:rPr>
        <w:t>Kesembilan,  antisipasi aksi teror.</w:t>
      </w:r>
    </w:p>
    <w:p w:rsidR="000460E3" w:rsidRPr="005A29EA" w:rsidRDefault="005A29EA" w:rsidP="005A29EA">
      <w:pPr>
        <w:jc w:val="both"/>
        <w:rPr>
          <w:rFonts w:ascii="Times New Roman" w:hAnsi="Times New Roman" w:cs="Times New Roman"/>
          <w:sz w:val="24"/>
        </w:rPr>
      </w:pPr>
      <w:bookmarkStart w:id="0" w:name="_GoBack"/>
      <w:bookmarkEnd w:id="0"/>
      <w:r w:rsidRPr="005A29EA">
        <w:rPr>
          <w:rFonts w:ascii="Times New Roman" w:hAnsi="Times New Roman" w:cs="Times New Roman"/>
          <w:sz w:val="24"/>
        </w:rPr>
        <w:t>Dengan Sembilan catatan itu, Mendagri Tjahjo Kumolo optimis penyelenggaraan Pemilu dapat berjalan lancar, sukses dan aman, belajar dari pengalaman tiga kali Pilkada Serentak sebelumnya.</w:t>
      </w:r>
    </w:p>
    <w:sectPr w:rsidR="000460E3" w:rsidRPr="005A29EA" w:rsidSect="005A29EA">
      <w:pgSz w:w="12242" w:h="18711"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9EA"/>
    <w:rsid w:val="002A00ED"/>
    <w:rsid w:val="005A29EA"/>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2019-03-28T06:37:00Z</dcterms:created>
  <dcterms:modified xsi:type="dcterms:W3CDTF">2019-03-28T06:40:00Z</dcterms:modified>
</cp:coreProperties>
</file>